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4A111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64BF4">
      <w:pPr>
        <w:spacing w:before="1"/>
        <w:ind w:left="1872" w:right="1930"/>
        <w:jc w:val="center"/>
        <w:rPr>
          <w:rFonts w:ascii="Arial" w:hAnsi="Arial"/>
          <w:b/>
          <w:sz w:val="38"/>
        </w:rPr>
      </w:pPr>
      <w:r>
        <w:rPr>
          <w:rFonts w:ascii="Arial" w:hAnsi="Arial"/>
          <w:b/>
          <w:sz w:val="38"/>
        </w:rPr>
        <w:t xml:space="preserve">E-Tender No. </w:t>
      </w:r>
      <w:r w:rsidR="00A61DBE">
        <w:rPr>
          <w:sz w:val="36"/>
          <w:szCs w:val="26"/>
        </w:rPr>
        <w:t>0</w:t>
      </w:r>
      <w:r w:rsidR="0038214A">
        <w:rPr>
          <w:sz w:val="36"/>
          <w:szCs w:val="26"/>
        </w:rPr>
        <w:t>9</w:t>
      </w:r>
      <w:r w:rsidR="00364BF4" w:rsidRPr="00364BF4">
        <w:rPr>
          <w:sz w:val="36"/>
          <w:szCs w:val="26"/>
        </w:rPr>
        <w:t>/2023-24/EDC/GZB</w:t>
      </w:r>
    </w:p>
    <w:p w:rsidR="00D87F02" w:rsidRDefault="004A111C">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38214A">
                    <w:pPr>
                      <w:jc w:val="both"/>
                      <w:rPr>
                        <w:rFonts w:ascii="Arial"/>
                        <w:sz w:val="62"/>
                        <w:szCs w:val="52"/>
                      </w:rPr>
                    </w:pPr>
                    <w:r>
                      <w:rPr>
                        <w:rFonts w:ascii="Arial"/>
                        <w:color w:val="FFFFFF"/>
                        <w:sz w:val="32"/>
                      </w:rPr>
                      <w:t xml:space="preserve">Tender description (brief details of works/supply): </w:t>
                    </w:r>
                    <w:r w:rsidR="0038214A" w:rsidRPr="0038214A">
                      <w:rPr>
                        <w:rFonts w:ascii="Kruti Dev 010" w:hAnsi="Kruti Dev 010"/>
                        <w:bCs/>
                        <w:sz w:val="38"/>
                        <w:szCs w:val="32"/>
                      </w:rPr>
                      <w:t>fo|qr forj.k [k.M eqjknuxj ds vUrxZr fo|qr forj.k mi[k.M&amp;izFke] eqjknuxj ds dk;Z{ks= esa 33@11 ds0oh0 midsUnz eqjknuxj ij LFkkfir 33 ds0oh0 dUVªksy o fjys iSuy ,oa [kjkc izksVsD”ku cksMZ dks f”k¶V djus rFkk mlds [kjkc esu fLopksa dks cnyuk] 33 ds0oh0@11 ds0oh0 dh dsfedy vfFkZax bR;kfnr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A111C">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sidR="00364BF4">
                      <w:rPr>
                        <w:i/>
                        <w:w w:val="95"/>
                        <w:sz w:val="32"/>
                        <w:highlight w:val="yellow"/>
                      </w:rPr>
                      <w:t>31</w:t>
                    </w:r>
                    <w:r>
                      <w:rPr>
                        <w:i/>
                        <w:w w:val="95"/>
                        <w:sz w:val="32"/>
                        <w:highlight w:val="yellow"/>
                      </w:rPr>
                      <w:t>.0</w:t>
                    </w:r>
                    <w:r w:rsidR="00364BF4">
                      <w:rPr>
                        <w:i/>
                        <w:w w:val="95"/>
                        <w:sz w:val="32"/>
                        <w:highlight w:val="yellow"/>
                      </w:rPr>
                      <w:t>5</w:t>
                    </w:r>
                    <w:r w:rsidRPr="00552A2D">
                      <w:rPr>
                        <w:i/>
                        <w:w w:val="95"/>
                        <w:sz w:val="32"/>
                        <w:highlight w:val="yellow"/>
                      </w:rPr>
                      <w:t>.202</w:t>
                    </w:r>
                    <w:r w:rsidR="00364BF4">
                      <w:rPr>
                        <w:i/>
                        <w:w w:val="95"/>
                        <w:sz w:val="32"/>
                        <w:highlight w:val="yellow"/>
                      </w:rPr>
                      <w:t>3</w:t>
                    </w:r>
                    <w:r w:rsidRPr="00552A2D">
                      <w:rPr>
                        <w:i/>
                        <w:w w:val="95"/>
                        <w:sz w:val="32"/>
                        <w:highlight w:val="yellow"/>
                      </w:rPr>
                      <w:t xml:space="preserve">, </w:t>
                    </w:r>
                    <w:r w:rsidR="00364BF4">
                      <w:rPr>
                        <w:i/>
                        <w:w w:val="95"/>
                        <w:sz w:val="32"/>
                        <w:highlight w:val="yellow"/>
                      </w:rPr>
                      <w:t>14</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A61DBE">
                      <w:rPr>
                        <w:b/>
                        <w:bCs/>
                        <w:i/>
                        <w:w w:val="85"/>
                        <w:sz w:val="32"/>
                      </w:rPr>
                      <w:t>118</w:t>
                    </w:r>
                    <w:r w:rsidR="00EA446F">
                      <w:rPr>
                        <w:b/>
                        <w:bCs/>
                        <w:i/>
                        <w:w w:val="85"/>
                        <w:sz w:val="32"/>
                      </w:rPr>
                      <w:t>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sidR="00364BF4">
                      <w:rPr>
                        <w:b/>
                        <w:bCs/>
                        <w:i/>
                        <w:sz w:val="32"/>
                        <w:highlight w:val="yellow"/>
                      </w:rPr>
                      <w:t>5</w:t>
                    </w:r>
                    <w:r w:rsidRPr="00552A2D">
                      <w:rPr>
                        <w:b/>
                        <w:bCs/>
                        <w:i/>
                        <w:sz w:val="32"/>
                        <w:highlight w:val="yellow"/>
                      </w:rPr>
                      <w:t>.202</w:t>
                    </w:r>
                    <w:r w:rsidR="00364BF4">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64BF4">
        <w:t>388</w:t>
      </w:r>
      <w:r>
        <w:tab/>
        <w:t>Dated:</w:t>
      </w:r>
      <w:r w:rsidR="00126E0F">
        <w:t xml:space="preserve"> </w:t>
      </w:r>
      <w:r w:rsidR="00B739FC">
        <w:t>15-0</w:t>
      </w:r>
      <w:r w:rsidR="00364BF4">
        <w:t>5-2023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364BF4">
              <w:rPr>
                <w:szCs w:val="26"/>
              </w:rPr>
              <w:t>0</w:t>
            </w:r>
            <w:r w:rsidR="0038214A">
              <w:rPr>
                <w:szCs w:val="26"/>
              </w:rPr>
              <w:t>9</w:t>
            </w:r>
            <w:r w:rsidR="00364BF4" w:rsidRPr="0039716C">
              <w:rPr>
                <w:szCs w:val="26"/>
              </w:rPr>
              <w:t>/202</w:t>
            </w:r>
            <w:r w:rsidR="00364BF4">
              <w:rPr>
                <w:szCs w:val="26"/>
              </w:rPr>
              <w:t>3</w:t>
            </w:r>
            <w:r w:rsidR="00364BF4" w:rsidRPr="0039716C">
              <w:rPr>
                <w:szCs w:val="26"/>
              </w:rPr>
              <w:t>-2</w:t>
            </w:r>
            <w:r w:rsidR="00364BF4">
              <w:rPr>
                <w:szCs w:val="26"/>
              </w:rPr>
              <w:t>4</w:t>
            </w:r>
            <w:r w:rsidR="00364BF4"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38214A" w:rsidRDefault="0038214A" w:rsidP="00B739FC">
            <w:pPr>
              <w:pStyle w:val="TableParagraph"/>
              <w:spacing w:line="240" w:lineRule="auto"/>
              <w:ind w:left="0"/>
              <w:jc w:val="both"/>
              <w:rPr>
                <w:sz w:val="28"/>
              </w:rPr>
            </w:pPr>
            <w:r w:rsidRPr="0038214A">
              <w:rPr>
                <w:rFonts w:ascii="Kruti Dev 010" w:hAnsi="Kruti Dev 010"/>
                <w:bCs/>
                <w:sz w:val="28"/>
                <w:szCs w:val="32"/>
              </w:rPr>
              <w:t>fo|qr forj.k [k.M eqjknuxj ds vUrxZr fo|qr forj.k mi[k.M&amp;izFke] eqjknuxj ds dk;Z{ks= esa 33@11 ds0oh0 midsUnz eqjknuxj ij LFkkfir 33 ds0oh0 dUVªksy o fjys iSuy ,oa [kjkc izksVsD”ku cksMZ dks f”k¶V djus rFkk mlds [kjkc esu fLopksa dks cnyuk] 33 ds0oh0@11 ds0oh0 dh dsfedy vfFkZax bR;kfnr dk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A61DBE">
              <w:rPr>
                <w:b/>
                <w:bCs/>
              </w:rPr>
              <w:t>1</w:t>
            </w:r>
            <w:r w:rsidR="00336A5C">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A61DBE">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61DBE">
            <w:pPr>
              <w:pStyle w:val="TableParagraph"/>
              <w:ind w:left="282"/>
              <w:jc w:val="center"/>
              <w:rPr>
                <w:b/>
                <w:bCs/>
              </w:rPr>
            </w:pPr>
            <w:r w:rsidRPr="00493345">
              <w:rPr>
                <w:b/>
                <w:bCs/>
                <w:highlight w:val="yellow"/>
              </w:rPr>
              <w:t xml:space="preserve">Rs. </w:t>
            </w:r>
            <w:r w:rsidR="00A61DBE">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A61DBE">
              <w:rPr>
                <w:b/>
                <w:bCs/>
                <w:highlight w:val="yellow"/>
              </w:rPr>
              <w:t>Two</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Pr>
                <w:highlight w:val="yellow"/>
              </w:rPr>
              <w:t>-0</w:t>
            </w:r>
            <w:r>
              <w:rPr>
                <w:highlight w:val="yellow"/>
              </w:rPr>
              <w:t>5</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31</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Pr>
                <w:highlight w:val="yellow"/>
              </w:rPr>
              <w:t>4</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FA5FF6">
        <w:t xml:space="preserve">. </w:t>
      </w:r>
      <w:r w:rsidR="00FA5FF6">
        <w:t>Tender Fees and EMD Must be Deposit before 12.00 PM of 30.05.2023 in our Bank above Said Account.</w:t>
      </w:r>
      <w:bookmarkStart w:id="0" w:name="_GoBack"/>
      <w:bookmarkEnd w:id="0"/>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A61DBE">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‘A’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A61DBE" w:rsidRDefault="00E4027C" w:rsidP="00A61DBE">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A61DBE">
        <w:rPr>
          <w:sz w:val="28"/>
        </w:rPr>
        <w:t xml:space="preserve">. </w:t>
      </w:r>
      <w:r w:rsidR="00A61DBE" w:rsidRPr="004F3F5E">
        <w:rPr>
          <w:rFonts w:cs="Calibri"/>
        </w:rPr>
        <w:t>(</w:t>
      </w:r>
      <w:r w:rsidR="00A61DBE">
        <w:rPr>
          <w:rFonts w:cs="Calibri"/>
        </w:rPr>
        <w:t>Must Enclosed CA Certificate)</w:t>
      </w:r>
      <w:r w:rsidR="00A61DBE">
        <w:rPr>
          <w:sz w:val="28"/>
        </w:rPr>
        <w:t xml:space="preserv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69" w:line="264" w:lineRule="auto"/>
        <w:ind w:right="105"/>
        <w:rPr>
          <w:sz w:val="28"/>
        </w:rPr>
      </w:pPr>
    </w:p>
    <w:p w:rsidR="00A61DBE" w:rsidRDefault="00E4027C" w:rsidP="00A61DBE">
      <w:pPr>
        <w:pStyle w:val="ListParagraph"/>
        <w:numPr>
          <w:ilvl w:val="0"/>
          <w:numId w:val="12"/>
        </w:numPr>
        <w:tabs>
          <w:tab w:val="left" w:pos="1901"/>
        </w:tabs>
        <w:spacing w:before="69" w:line="264" w:lineRule="auto"/>
        <w:ind w:right="105"/>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A61DBE" w:rsidRPr="00A61DBE">
        <w:rPr>
          <w:rFonts w:cs="Calibri"/>
        </w:rPr>
        <w:t xml:space="preserve"> </w:t>
      </w:r>
      <w:r w:rsidR="00A61DBE" w:rsidRPr="004F3F5E">
        <w:rPr>
          <w:rFonts w:cs="Calibri"/>
        </w:rPr>
        <w:t>(</w:t>
      </w:r>
      <w:r w:rsidR="00A61DBE">
        <w:rPr>
          <w:rFonts w:cs="Calibri"/>
        </w:rPr>
        <w:t xml:space="preserve">Must Enclosed CA Certificate)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2" w:line="264" w:lineRule="auto"/>
        <w:ind w:right="106"/>
        <w:rPr>
          <w:sz w:val="28"/>
        </w:rPr>
      </w:pP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0B741B" w:rsidRPr="00A61DBE" w:rsidRDefault="00E4027C" w:rsidP="00A61DBE">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11C" w:rsidRDefault="004A111C">
      <w:r>
        <w:separator/>
      </w:r>
    </w:p>
  </w:endnote>
  <w:endnote w:type="continuationSeparator" w:id="0">
    <w:p w:rsidR="004A111C" w:rsidRDefault="004A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A967DD">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967DD">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11C" w:rsidRDefault="004A111C">
      <w:r>
        <w:separator/>
      </w:r>
    </w:p>
  </w:footnote>
  <w:footnote w:type="continuationSeparator" w:id="0">
    <w:p w:rsidR="004A111C" w:rsidRDefault="004A11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64BF4"/>
    <w:rsid w:val="0038214A"/>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3345"/>
    <w:rsid w:val="0049533B"/>
    <w:rsid w:val="004A111C"/>
    <w:rsid w:val="004C6387"/>
    <w:rsid w:val="005327A5"/>
    <w:rsid w:val="00540C00"/>
    <w:rsid w:val="00547322"/>
    <w:rsid w:val="00552A2D"/>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2672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316F"/>
    <w:rsid w:val="00A07E59"/>
    <w:rsid w:val="00A31B41"/>
    <w:rsid w:val="00A5697B"/>
    <w:rsid w:val="00A61DBE"/>
    <w:rsid w:val="00A933A1"/>
    <w:rsid w:val="00A967DD"/>
    <w:rsid w:val="00AA2543"/>
    <w:rsid w:val="00AB7EFA"/>
    <w:rsid w:val="00AD2610"/>
    <w:rsid w:val="00AD6B53"/>
    <w:rsid w:val="00B06926"/>
    <w:rsid w:val="00B23491"/>
    <w:rsid w:val="00B36ED7"/>
    <w:rsid w:val="00B57776"/>
    <w:rsid w:val="00B739FC"/>
    <w:rsid w:val="00B765E3"/>
    <w:rsid w:val="00B817E3"/>
    <w:rsid w:val="00BB248E"/>
    <w:rsid w:val="00BF4E57"/>
    <w:rsid w:val="00C32F95"/>
    <w:rsid w:val="00C432FD"/>
    <w:rsid w:val="00C735F3"/>
    <w:rsid w:val="00C75871"/>
    <w:rsid w:val="00C77A68"/>
    <w:rsid w:val="00C825E7"/>
    <w:rsid w:val="00CA7EC5"/>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B6F70"/>
    <w:rsid w:val="00DF2BC1"/>
    <w:rsid w:val="00E00E34"/>
    <w:rsid w:val="00E0269B"/>
    <w:rsid w:val="00E061E5"/>
    <w:rsid w:val="00E07319"/>
    <w:rsid w:val="00E26BE9"/>
    <w:rsid w:val="00E4027C"/>
    <w:rsid w:val="00E43B71"/>
    <w:rsid w:val="00E70254"/>
    <w:rsid w:val="00EA446F"/>
    <w:rsid w:val="00EB6AA2"/>
    <w:rsid w:val="00EE1FF5"/>
    <w:rsid w:val="00EE2FF4"/>
    <w:rsid w:val="00EF34C0"/>
    <w:rsid w:val="00F0747A"/>
    <w:rsid w:val="00F7233A"/>
    <w:rsid w:val="00F74EAE"/>
    <w:rsid w:val="00F77B96"/>
    <w:rsid w:val="00F84188"/>
    <w:rsid w:val="00F905B9"/>
    <w:rsid w:val="00FA5FF6"/>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AC5B3"/>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32</Pages>
  <Words>11456</Words>
  <Characters>65303</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44</cp:revision>
  <cp:lastPrinted>2023-05-20T09:44:00Z</cp:lastPrinted>
  <dcterms:created xsi:type="dcterms:W3CDTF">2021-07-23T00:52:00Z</dcterms:created>
  <dcterms:modified xsi:type="dcterms:W3CDTF">2023-05-20T09:44:00Z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